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66CB6921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C476E5">
        <w:rPr>
          <w:b w:val="0"/>
          <w:sz w:val="72"/>
          <w:szCs w:val="72"/>
        </w:rPr>
        <w:t>R</w:t>
      </w:r>
      <w:r w:rsidR="00957B5D">
        <w:rPr>
          <w:b w:val="0"/>
          <w:sz w:val="72"/>
          <w:szCs w:val="72"/>
        </w:rPr>
        <w:t>I</w:t>
      </w:r>
      <w:r>
        <w:rPr>
          <w:b w:val="0"/>
          <w:sz w:val="72"/>
          <w:szCs w:val="72"/>
        </w:rPr>
        <w:t>.00</w:t>
      </w:r>
      <w:r w:rsidR="00022249">
        <w:rPr>
          <w:b w:val="0"/>
          <w:sz w:val="72"/>
          <w:szCs w:val="72"/>
        </w:rPr>
        <w:t>3</w:t>
      </w:r>
    </w:p>
    <w:p w14:paraId="4683A711" w14:textId="1AD08457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C476E5">
        <w:t xml:space="preserve">de </w:t>
      </w:r>
      <w:r w:rsidR="00022249">
        <w:t>Transição de representação Internacional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287ED1F7" w14:textId="313D5E15" w:rsidR="000E0E04" w:rsidRPr="000E0E04" w:rsidRDefault="000E0E04" w:rsidP="000E0E04">
      <w:pPr>
        <w:pStyle w:val="ListParagraph"/>
        <w:numPr>
          <w:ilvl w:val="0"/>
          <w:numId w:val="12"/>
        </w:numPr>
      </w:pPr>
      <w:r w:rsidRPr="000E0E04">
        <w:t xml:space="preserve">Para </w:t>
      </w:r>
      <w:r>
        <w:t>ocorrer a transição de responsabilidade por</w:t>
      </w:r>
      <w:r w:rsidRPr="000E0E04">
        <w:t xml:space="preserve"> uma Representação Internacional </w:t>
      </w:r>
      <w:r>
        <w:t xml:space="preserve">do </w:t>
      </w:r>
      <w:r w:rsidRPr="000E0E04">
        <w:rPr>
          <w:b/>
        </w:rPr>
        <w:t>Diretor de Desenvolvimento Internacional</w:t>
      </w:r>
      <w:r>
        <w:t xml:space="preserve"> para o</w:t>
      </w:r>
      <w:r w:rsidRPr="000E0E04">
        <w:t xml:space="preserve"> </w:t>
      </w:r>
      <w:r w:rsidRPr="000E0E04">
        <w:rPr>
          <w:b/>
        </w:rPr>
        <w:t>Diretor de Relações Internacionais</w:t>
      </w:r>
      <w:r w:rsidRPr="000E0E04">
        <w:t xml:space="preserve"> são necessários os seguintes requisitos mínimos.</w:t>
      </w:r>
    </w:p>
    <w:p w14:paraId="2449B90A" w14:textId="77777777" w:rsidR="000E0E04" w:rsidRPr="000E0E04" w:rsidRDefault="000E0E04" w:rsidP="000E0E04">
      <w:pPr>
        <w:pStyle w:val="ListParagraph"/>
        <w:numPr>
          <w:ilvl w:val="1"/>
          <w:numId w:val="12"/>
        </w:numPr>
      </w:pPr>
      <w:r w:rsidRPr="000E0E04">
        <w:t xml:space="preserve">Ter fluxo de comunicação ativo entre Embaixador Institucional e Responsável pelo país. </w:t>
      </w:r>
    </w:p>
    <w:p w14:paraId="3B4C72F9" w14:textId="77777777" w:rsidR="000E0E04" w:rsidRPr="000E0E04" w:rsidRDefault="000E0E04" w:rsidP="000E0E04">
      <w:pPr>
        <w:pStyle w:val="ListParagraph"/>
        <w:numPr>
          <w:ilvl w:val="1"/>
          <w:numId w:val="12"/>
        </w:numPr>
      </w:pPr>
      <w:r w:rsidRPr="000E0E04">
        <w:t>Ter material institucional traduzido na língua do país</w:t>
      </w:r>
    </w:p>
    <w:p w14:paraId="7EE39917" w14:textId="77777777" w:rsidR="000E0E04" w:rsidRPr="000E0E04" w:rsidRDefault="000E0E04" w:rsidP="000E0E04">
      <w:pPr>
        <w:pStyle w:val="ListParagraph"/>
        <w:numPr>
          <w:ilvl w:val="1"/>
          <w:numId w:val="12"/>
        </w:numPr>
      </w:pPr>
      <w:r w:rsidRPr="000E0E04">
        <w:t xml:space="preserve">Já ter sido realizado o evento de inauguração da Representação Internacional no País. </w:t>
      </w:r>
    </w:p>
    <w:p w14:paraId="7C74F100" w14:textId="77777777" w:rsidR="000E0E04" w:rsidRPr="000E0E04" w:rsidRDefault="000E0E04" w:rsidP="000E0E04">
      <w:pPr>
        <w:pStyle w:val="ListParagraph"/>
        <w:numPr>
          <w:ilvl w:val="1"/>
          <w:numId w:val="12"/>
        </w:numPr>
      </w:pPr>
      <w:r w:rsidRPr="000E0E04">
        <w:t>Ter formalizadas as parcerias com, no mínimo, as seguintes Instituições do país no Brasil: Embaixada, Consulado, Câmara de Comércio.</w:t>
      </w:r>
    </w:p>
    <w:p w14:paraId="6074F36B" w14:textId="1A4F2000" w:rsidR="00AE2038" w:rsidRDefault="000E0E04" w:rsidP="000E0E04">
      <w:pPr>
        <w:pStyle w:val="ListParagraph"/>
        <w:numPr>
          <w:ilvl w:val="1"/>
          <w:numId w:val="12"/>
        </w:numPr>
      </w:pPr>
      <w:r w:rsidRPr="000E0E04">
        <w:t>Ter identificado as mais relevantes alianças estratégicas e/ou parcerias a serem firmadas entre o IBREI e instituições públicas e privadas do país/região.</w:t>
      </w:r>
    </w:p>
    <w:p w14:paraId="688B67B4" w14:textId="05F709F9" w:rsidR="000E0E04" w:rsidRPr="000E0E04" w:rsidRDefault="000E0E04" w:rsidP="000E0E04">
      <w:pPr>
        <w:pStyle w:val="ListParagraph"/>
        <w:numPr>
          <w:ilvl w:val="0"/>
          <w:numId w:val="12"/>
        </w:numPr>
      </w:pPr>
      <w:r>
        <w:t>Observados os requisitos supra, o Diretor de Desenvolvimento Internacional encerra suas atividades com aquela Representação Internacional e comunica o Diretor de Relações Internacionais, o Responsável pelo País e o(s) Embaixador(es) Institucional(</w:t>
      </w:r>
      <w:proofErr w:type="spellStart"/>
      <w:r>
        <w:t>is</w:t>
      </w:r>
      <w:proofErr w:type="spellEnd"/>
      <w:r>
        <w:t>) acerca da transição.</w:t>
      </w:r>
      <w:bookmarkStart w:id="0" w:name="_GoBack"/>
      <w:bookmarkEnd w:id="0"/>
    </w:p>
    <w:p w14:paraId="6069811B" w14:textId="77777777" w:rsidR="002C3827" w:rsidRDefault="002C3827" w:rsidP="002C3827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2ED162C4" w14:textId="467FAEDB" w:rsidR="00994421" w:rsidRDefault="00AE2038" w:rsidP="00994421">
      <w:r w:rsidRPr="00957B5D">
        <w:t>–</w:t>
      </w:r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2F60D388" w:rsidR="002D18F3" w:rsidRDefault="00AE2038" w:rsidP="00994421">
      <w:r>
        <w:t>–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2364" w14:textId="77777777" w:rsidR="00517E7D" w:rsidRDefault="00517E7D" w:rsidP="00994421">
      <w:r>
        <w:separator/>
      </w:r>
    </w:p>
  </w:endnote>
  <w:endnote w:type="continuationSeparator" w:id="0">
    <w:p w14:paraId="668D750C" w14:textId="77777777" w:rsidR="00517E7D" w:rsidRDefault="00517E7D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53843EDE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DA4069">
            <w:rPr>
              <w:color w:val="FFFFFF" w:themeColor="background1"/>
              <w:sz w:val="72"/>
              <w:szCs w:val="72"/>
            </w:rPr>
            <w:t>R</w:t>
          </w:r>
          <w:r w:rsidR="00957B5D">
            <w:rPr>
              <w:color w:val="FFFFFF" w:themeColor="background1"/>
              <w:sz w:val="72"/>
              <w:szCs w:val="72"/>
            </w:rPr>
            <w:t>I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0E0E04">
            <w:rPr>
              <w:color w:val="FFFFFF" w:themeColor="background1"/>
              <w:sz w:val="72"/>
              <w:szCs w:val="72"/>
            </w:rPr>
            <w:t>3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5AF2F550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DA4069">
            <w:rPr>
              <w:b/>
              <w:color w:val="FFFFFF" w:themeColor="background1"/>
            </w:rPr>
            <w:t xml:space="preserve">de </w:t>
          </w:r>
          <w:r w:rsidR="000E0E04" w:rsidRPr="000E0E04">
            <w:rPr>
              <w:b/>
              <w:color w:val="FFFFFF" w:themeColor="background1"/>
            </w:rPr>
            <w:t>Transição de Representação Internacional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C698" w14:textId="77777777" w:rsidR="00517E7D" w:rsidRDefault="00517E7D" w:rsidP="00994421">
      <w:r>
        <w:separator/>
      </w:r>
    </w:p>
  </w:footnote>
  <w:footnote w:type="continuationSeparator" w:id="0">
    <w:p w14:paraId="4CF76CD8" w14:textId="77777777" w:rsidR="00517E7D" w:rsidRDefault="00517E7D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49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E0E04"/>
    <w:rsid w:val="000F7C39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D18F3"/>
    <w:rsid w:val="002E01C7"/>
    <w:rsid w:val="00326F3B"/>
    <w:rsid w:val="0034323E"/>
    <w:rsid w:val="0035608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17E7D"/>
    <w:rsid w:val="00570F5C"/>
    <w:rsid w:val="00582F68"/>
    <w:rsid w:val="00594F6E"/>
    <w:rsid w:val="005A2A99"/>
    <w:rsid w:val="005A7848"/>
    <w:rsid w:val="005C5490"/>
    <w:rsid w:val="005D3529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5786"/>
    <w:rsid w:val="0085759D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57B5D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53F71"/>
    <w:rsid w:val="00A6541E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A4069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D482-3797-FA4D-9F50-F6C189C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1285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2019-05-07T03:03:00Z</dcterms:created>
  <dcterms:modified xsi:type="dcterms:W3CDTF">2019-05-07T03:07:00Z</dcterms:modified>
</cp:coreProperties>
</file>